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28" w:rsidRDefault="00145A90">
      <w:r>
        <w:t xml:space="preserve">                                              </w:t>
      </w:r>
    </w:p>
    <w:p w:rsidR="00C8483E" w:rsidRDefault="00145A90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                            CURRICULUM   VITAE</w:t>
      </w:r>
    </w:p>
    <w:p w:rsidR="00145A90" w:rsidRDefault="00145A90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          </w:t>
      </w:r>
    </w:p>
    <w:p w:rsidR="00145A90" w:rsidRDefault="00145A90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Nato a Roma il 5 marzo 1947         </w:t>
      </w:r>
    </w:p>
    <w:p w:rsidR="00145A90" w:rsidRDefault="00145A90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Febbraio 1970: laurea in Giurisprudenza con lode</w:t>
      </w:r>
      <w:r w:rsidR="00E24E06">
        <w:rPr>
          <w:rFonts w:ascii="Garamond" w:hAnsi="Garamond"/>
          <w:sz w:val="24"/>
          <w:szCs w:val="24"/>
          <w:shd w:val="clear" w:color="auto" w:fill="FFFFFF"/>
        </w:rPr>
        <w:t>;</w:t>
      </w:r>
    </w:p>
    <w:p w:rsidR="00145A90" w:rsidRDefault="00145A90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1970-1973: assistente di cattedra </w:t>
      </w:r>
      <w:r w:rsidR="00C05BDB">
        <w:rPr>
          <w:rFonts w:ascii="Garamond" w:hAnsi="Garamond"/>
          <w:sz w:val="24"/>
          <w:szCs w:val="24"/>
          <w:shd w:val="clear" w:color="auto" w:fill="FFFFFF"/>
        </w:rPr>
        <w:t>d</w:t>
      </w:r>
      <w:r>
        <w:rPr>
          <w:rFonts w:ascii="Garamond" w:hAnsi="Garamond"/>
          <w:sz w:val="24"/>
          <w:szCs w:val="24"/>
          <w:shd w:val="clear" w:color="auto" w:fill="FFFFFF"/>
        </w:rPr>
        <w:t>i diritto amministrativo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>,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Prof. Giuseppe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Guarino</w:t>
      </w:r>
      <w:proofErr w:type="spellEnd"/>
      <w:r w:rsidR="00E24E06">
        <w:rPr>
          <w:rFonts w:ascii="Garamond" w:hAnsi="Garamond"/>
          <w:sz w:val="24"/>
          <w:szCs w:val="24"/>
          <w:shd w:val="clear" w:color="auto" w:fill="FFFFFF"/>
        </w:rPr>
        <w:t>;</w:t>
      </w:r>
    </w:p>
    <w:p w:rsidR="00E24E06" w:rsidRDefault="00E24E06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novembre 1973: funzionario IRI, Istituto per la Ricostruzione Industriale, area legale;</w:t>
      </w:r>
    </w:p>
    <w:p w:rsidR="00E24E06" w:rsidRDefault="00E24E06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novembre 1983: direttore centrale Affari Legali e Tributari ITALSTAT e poi IRITECNA s.p.a.; componente di Consigli di amministrazione e di Comitati esecutivi di varie società del Gruppo; dal maggio </w:t>
      </w:r>
      <w:r w:rsidR="006014D7">
        <w:rPr>
          <w:rFonts w:ascii="Garamond" w:hAnsi="Garamond"/>
          <w:sz w:val="24"/>
          <w:szCs w:val="24"/>
          <w:shd w:val="clear" w:color="auto" w:fill="FFFFFF"/>
        </w:rPr>
        <w:t>199</w:t>
      </w:r>
      <w:r w:rsidR="00E21266">
        <w:rPr>
          <w:rFonts w:ascii="Garamond" w:hAnsi="Garamond"/>
          <w:sz w:val="24"/>
          <w:szCs w:val="24"/>
          <w:shd w:val="clear" w:color="auto" w:fill="FFFFFF"/>
        </w:rPr>
        <w:t>3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nominato liquidatore della società CMF SUD, del Gruppo IRITECNA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>, incarico speciale mantenuto fino a scadenza nel primo trimestre 1995</w:t>
      </w:r>
      <w:r>
        <w:rPr>
          <w:rFonts w:ascii="Garamond" w:hAnsi="Garamond"/>
          <w:sz w:val="24"/>
          <w:szCs w:val="24"/>
          <w:shd w:val="clear" w:color="auto" w:fill="FFFFFF"/>
        </w:rPr>
        <w:t>;</w:t>
      </w:r>
    </w:p>
    <w:p w:rsidR="00D4685B" w:rsidRDefault="00E24E06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ottobre </w:t>
      </w:r>
      <w:r w:rsidR="006014D7">
        <w:rPr>
          <w:rFonts w:ascii="Garamond" w:hAnsi="Garamond"/>
          <w:sz w:val="24"/>
          <w:szCs w:val="24"/>
          <w:shd w:val="clear" w:color="auto" w:fill="FFFFFF"/>
        </w:rPr>
        <w:t>199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>4</w:t>
      </w:r>
      <w:r>
        <w:rPr>
          <w:rFonts w:ascii="Garamond" w:hAnsi="Garamond"/>
          <w:sz w:val="24"/>
          <w:szCs w:val="24"/>
          <w:shd w:val="clear" w:color="auto" w:fill="FFFFFF"/>
        </w:rPr>
        <w:t>: Direttore Centrale Opere Pubbliche in ANCE (Ass</w:t>
      </w:r>
      <w:r w:rsidR="00F82EF6">
        <w:rPr>
          <w:rFonts w:ascii="Garamond" w:hAnsi="Garamond"/>
          <w:sz w:val="24"/>
          <w:szCs w:val="24"/>
          <w:shd w:val="clear" w:color="auto" w:fill="FFFFFF"/>
        </w:rPr>
        <w:t>ociazione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Nazionale Costruttori Edili)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>;</w:t>
      </w:r>
    </w:p>
    <w:p w:rsidR="00E24E06" w:rsidRDefault="00E24E06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>giugno 1996: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Segreta</w:t>
      </w:r>
      <w:r w:rsidR="00F82EF6">
        <w:rPr>
          <w:rFonts w:ascii="Garamond" w:hAnsi="Garamond"/>
          <w:sz w:val="24"/>
          <w:szCs w:val="24"/>
          <w:shd w:val="clear" w:color="auto" w:fill="FFFFFF"/>
        </w:rPr>
        <w:t>r</w:t>
      </w:r>
      <w:r>
        <w:rPr>
          <w:rFonts w:ascii="Garamond" w:hAnsi="Garamond"/>
          <w:sz w:val="24"/>
          <w:szCs w:val="24"/>
          <w:shd w:val="clear" w:color="auto" w:fill="FFFFFF"/>
        </w:rPr>
        <w:t>io</w:t>
      </w:r>
      <w:r w:rsidR="00F82EF6">
        <w:rPr>
          <w:rFonts w:ascii="Garamond" w:hAnsi="Garamond"/>
          <w:sz w:val="24"/>
          <w:szCs w:val="24"/>
          <w:shd w:val="clear" w:color="auto" w:fill="FFFFFF"/>
        </w:rPr>
        <w:t xml:space="preserve"> Generale AGI (Associazione Grandi Imprese)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 xml:space="preserve"> associazione confindustriale delle imprese generali di</w:t>
      </w:r>
      <w:r w:rsidR="00F82EF6">
        <w:rPr>
          <w:rFonts w:ascii="Garamond" w:hAnsi="Garamond"/>
          <w:sz w:val="24"/>
          <w:szCs w:val="24"/>
          <w:shd w:val="clear" w:color="auto" w:fill="FFFFFF"/>
        </w:rPr>
        <w:t xml:space="preserve"> costruzioni;</w:t>
      </w:r>
    </w:p>
    <w:p w:rsidR="00F82EF6" w:rsidRDefault="00F82EF6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settembre </w:t>
      </w:r>
      <w:r w:rsidR="006014D7">
        <w:rPr>
          <w:rFonts w:ascii="Garamond" w:hAnsi="Garamond"/>
          <w:sz w:val="24"/>
          <w:szCs w:val="24"/>
          <w:shd w:val="clear" w:color="auto" w:fill="FFFFFF"/>
        </w:rPr>
        <w:t>1997</w:t>
      </w:r>
      <w:r>
        <w:rPr>
          <w:rFonts w:ascii="Garamond" w:hAnsi="Garamond"/>
          <w:sz w:val="24"/>
          <w:szCs w:val="24"/>
          <w:shd w:val="clear" w:color="auto" w:fill="FFFFFF"/>
        </w:rPr>
        <w:t>: responsabile</w:t>
      </w:r>
      <w:r w:rsidR="003E2AB8">
        <w:rPr>
          <w:rFonts w:ascii="Garamond" w:hAnsi="Garamond"/>
          <w:sz w:val="24"/>
          <w:szCs w:val="24"/>
          <w:shd w:val="clear" w:color="auto" w:fill="FFFFFF"/>
        </w:rPr>
        <w:t xml:space="preserve"> legale della divisione ENEL SIN (inge</w:t>
      </w:r>
      <w:r w:rsidR="003F1615">
        <w:rPr>
          <w:rFonts w:ascii="Garamond" w:hAnsi="Garamond"/>
          <w:sz w:val="24"/>
          <w:szCs w:val="24"/>
          <w:shd w:val="clear" w:color="auto" w:fill="FFFFFF"/>
        </w:rPr>
        <w:t>gneria e costruzioni)</w:t>
      </w:r>
      <w:r w:rsidR="003E2AB8">
        <w:rPr>
          <w:rFonts w:ascii="Garamond" w:hAnsi="Garamond"/>
          <w:sz w:val="24"/>
          <w:szCs w:val="24"/>
          <w:shd w:val="clear" w:color="auto" w:fill="FFFFFF"/>
        </w:rPr>
        <w:t xml:space="preserve"> e</w:t>
      </w:r>
      <w:r w:rsidR="003F1615">
        <w:rPr>
          <w:rFonts w:ascii="Garamond" w:hAnsi="Garamond"/>
          <w:sz w:val="24"/>
          <w:szCs w:val="24"/>
          <w:shd w:val="clear" w:color="auto" w:fill="FFFFFF"/>
        </w:rPr>
        <w:t xml:space="preserve">, dopo la </w:t>
      </w:r>
      <w:proofErr w:type="spellStart"/>
      <w:r w:rsidR="003F1615">
        <w:rPr>
          <w:rFonts w:ascii="Garamond" w:hAnsi="Garamond"/>
          <w:sz w:val="24"/>
          <w:szCs w:val="24"/>
          <w:shd w:val="clear" w:color="auto" w:fill="FFFFFF"/>
        </w:rPr>
        <w:t>societarizzazione</w:t>
      </w:r>
      <w:proofErr w:type="spellEnd"/>
      <w:r w:rsidR="003F1615">
        <w:rPr>
          <w:rFonts w:ascii="Garamond" w:hAnsi="Garamond"/>
          <w:sz w:val="24"/>
          <w:szCs w:val="24"/>
          <w:shd w:val="clear" w:color="auto" w:fill="FFFFFF"/>
        </w:rPr>
        <w:t xml:space="preserve"> del Gruppo, direttore</w:t>
      </w:r>
      <w:r w:rsidR="003E2AB8">
        <w:rPr>
          <w:rFonts w:ascii="Garamond" w:hAnsi="Garamond"/>
          <w:sz w:val="24"/>
          <w:szCs w:val="24"/>
          <w:shd w:val="clear" w:color="auto" w:fill="FFFFFF"/>
        </w:rPr>
        <w:t xml:space="preserve"> dell’</w:t>
      </w:r>
      <w:r>
        <w:rPr>
          <w:rFonts w:ascii="Garamond" w:hAnsi="Garamond"/>
          <w:sz w:val="24"/>
          <w:szCs w:val="24"/>
          <w:shd w:val="clear" w:color="auto" w:fill="FFFFFF"/>
        </w:rPr>
        <w:t>Ufficio legale</w:t>
      </w:r>
      <w:r w:rsidR="003E2AB8">
        <w:rPr>
          <w:rFonts w:ascii="Garamond" w:hAnsi="Garamond"/>
          <w:sz w:val="24"/>
          <w:szCs w:val="24"/>
          <w:shd w:val="clear" w:color="auto" w:fill="FFFFFF"/>
        </w:rPr>
        <w:t xml:space="preserve"> e societario di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Enelpower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spa</w:t>
      </w:r>
      <w:r w:rsidR="003F1615">
        <w:rPr>
          <w:rFonts w:ascii="Garamond" w:hAnsi="Garamond"/>
          <w:sz w:val="24"/>
          <w:szCs w:val="24"/>
          <w:shd w:val="clear" w:color="auto" w:fill="FFFFFF"/>
        </w:rPr>
        <w:t>; negli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 xml:space="preserve"> anni 2000/200</w:t>
      </w:r>
      <w:r w:rsidR="00A449EA">
        <w:rPr>
          <w:rFonts w:ascii="Garamond" w:hAnsi="Garamond"/>
          <w:sz w:val="24"/>
          <w:szCs w:val="24"/>
          <w:shd w:val="clear" w:color="auto" w:fill="FFFFFF"/>
        </w:rPr>
        <w:t>3</w:t>
      </w:r>
      <w:r w:rsidR="003F1615">
        <w:rPr>
          <w:rFonts w:ascii="Garamond" w:hAnsi="Garamond"/>
          <w:sz w:val="24"/>
          <w:szCs w:val="24"/>
          <w:shd w:val="clear" w:color="auto" w:fill="FFFFFF"/>
        </w:rPr>
        <w:t>,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legale Corporate ENEL, responsabile del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>l’ufficio per il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contenzioso riserve su appalti</w:t>
      </w:r>
      <w:r w:rsidR="003F1615">
        <w:rPr>
          <w:rFonts w:ascii="Garamond" w:hAnsi="Garamond"/>
          <w:sz w:val="24"/>
          <w:szCs w:val="24"/>
          <w:shd w:val="clear" w:color="auto" w:fill="FFFFFF"/>
        </w:rPr>
        <w:t xml:space="preserve"> per tutte le società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del Gruppo </w:t>
      </w:r>
      <w:r w:rsidR="003F1615">
        <w:rPr>
          <w:rFonts w:ascii="Garamond" w:hAnsi="Garamond"/>
          <w:sz w:val="24"/>
          <w:szCs w:val="24"/>
          <w:shd w:val="clear" w:color="auto" w:fill="FFFFFF"/>
        </w:rPr>
        <w:t xml:space="preserve">Enel,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con riferimento 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 xml:space="preserve">diretto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alla direzione finanziaria 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>(</w:t>
      </w:r>
      <w:r>
        <w:rPr>
          <w:rFonts w:ascii="Garamond" w:hAnsi="Garamond"/>
          <w:sz w:val="24"/>
          <w:szCs w:val="24"/>
          <w:shd w:val="clear" w:color="auto" w:fill="FFFFFF"/>
        </w:rPr>
        <w:t>dr. Fulvio Conti</w:t>
      </w:r>
      <w:r w:rsidR="00D4685B">
        <w:rPr>
          <w:rFonts w:ascii="Garamond" w:hAnsi="Garamond"/>
          <w:sz w:val="24"/>
          <w:szCs w:val="24"/>
          <w:shd w:val="clear" w:color="auto" w:fill="FFFFFF"/>
        </w:rPr>
        <w:t>)</w:t>
      </w:r>
      <w:r>
        <w:rPr>
          <w:rFonts w:ascii="Garamond" w:hAnsi="Garamond"/>
          <w:sz w:val="24"/>
          <w:szCs w:val="24"/>
          <w:shd w:val="clear" w:color="auto" w:fill="FFFFFF"/>
        </w:rPr>
        <w:t>;</w:t>
      </w:r>
    </w:p>
    <w:p w:rsidR="00A449EA" w:rsidRDefault="00A449EA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novembre 2003: responsabile legale in SOGEI spa con incarico speciale per i rapporti con le Regioni della società controllata SOGEI IT spa avente ad oggetto la promozione della digitalizzazione nel settore sanitario presso le Regioni (cd “carta sanitaria</w:t>
      </w:r>
      <w:r w:rsidR="00C06B6D">
        <w:rPr>
          <w:rFonts w:ascii="Garamond" w:hAnsi="Garamond"/>
          <w:sz w:val="24"/>
          <w:szCs w:val="24"/>
          <w:shd w:val="clear" w:color="auto" w:fill="FFFFFF"/>
        </w:rPr>
        <w:t xml:space="preserve"> del cittadino</w:t>
      </w:r>
      <w:r>
        <w:rPr>
          <w:rFonts w:ascii="Garamond" w:hAnsi="Garamond"/>
          <w:sz w:val="24"/>
          <w:szCs w:val="24"/>
          <w:shd w:val="clear" w:color="auto" w:fill="FFFFFF"/>
        </w:rPr>
        <w:t>”, poi divenuta tessera sanitaria nell’ambito dell’anagrafe tributaria italiana)</w:t>
      </w:r>
      <w:r w:rsidR="00C06B6D">
        <w:rPr>
          <w:rFonts w:ascii="Garamond" w:hAnsi="Garamond"/>
          <w:sz w:val="24"/>
          <w:szCs w:val="24"/>
          <w:shd w:val="clear" w:color="auto" w:fill="FFFFFF"/>
        </w:rPr>
        <w:t>.</w:t>
      </w:r>
    </w:p>
    <w:p w:rsidR="003E2AB8" w:rsidRDefault="00C06B6D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dal giugno 2005: consulente SOGEI per i rapporti con  istituzioni di ricerca ed Università e “off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counsel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>” presso le filiali (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Roma-Milano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>)</w:t>
      </w:r>
      <w:r w:rsidR="003E2AB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degli studi internazionali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White&amp;Case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(2005/2007),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Camozzi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Bonissoni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Varrenti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e Associati (2008/2009) e</w:t>
      </w:r>
      <w:r w:rsidR="003E2AB8"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 w:rsidR="003E2AB8">
        <w:rPr>
          <w:rFonts w:ascii="Garamond" w:hAnsi="Garamond"/>
          <w:sz w:val="24"/>
          <w:szCs w:val="24"/>
          <w:shd w:val="clear" w:color="auto" w:fill="FFFFFF"/>
        </w:rPr>
        <w:t>Orrick</w:t>
      </w:r>
      <w:proofErr w:type="spellEnd"/>
      <w:r w:rsidR="003E2AB8">
        <w:rPr>
          <w:rFonts w:ascii="Garamond" w:hAnsi="Garamond"/>
          <w:sz w:val="24"/>
          <w:szCs w:val="24"/>
          <w:shd w:val="clear" w:color="auto" w:fill="FFFFFF"/>
        </w:rPr>
        <w:t xml:space="preserve">, </w:t>
      </w:r>
      <w:proofErr w:type="spellStart"/>
      <w:r w:rsidR="003E2AB8">
        <w:rPr>
          <w:rFonts w:ascii="Garamond" w:hAnsi="Garamond"/>
          <w:sz w:val="24"/>
          <w:szCs w:val="24"/>
          <w:shd w:val="clear" w:color="auto" w:fill="FFFFFF"/>
        </w:rPr>
        <w:t>Herrington&amp;Sutcliffe</w:t>
      </w:r>
      <w:proofErr w:type="spellEnd"/>
      <w:r w:rsidR="003E2AB8">
        <w:rPr>
          <w:rFonts w:ascii="Garamond" w:hAnsi="Garamond"/>
          <w:sz w:val="24"/>
          <w:szCs w:val="24"/>
          <w:shd w:val="clear" w:color="auto" w:fill="FFFFFF"/>
        </w:rPr>
        <w:t xml:space="preserve"> (2010/2012);</w:t>
      </w:r>
      <w:r w:rsidR="009F38A5">
        <w:rPr>
          <w:rFonts w:ascii="Garamond" w:hAnsi="Garamond"/>
          <w:sz w:val="24"/>
          <w:szCs w:val="24"/>
          <w:shd w:val="clear" w:color="auto" w:fill="FFFFFF"/>
        </w:rPr>
        <w:t xml:space="preserve"> lingue straniere praticate: inglese e francese;</w:t>
      </w:r>
    </w:p>
    <w:p w:rsidR="00C06B6D" w:rsidRDefault="003E2AB8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 xml:space="preserve">dal 2012: consulente legale presso lo studio 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Eulex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(prof Domenico Galli e associati), poi divenuto studio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Legal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Research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con sede in Roma.</w:t>
      </w:r>
    </w:p>
    <w:p w:rsidR="009B1AAD" w:rsidRDefault="009B1AAD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E21266" w:rsidRDefault="009B1AAD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Componente di Consigli di amministrazione e di Comitati esecutivi di varie società del Gruppo ITALSTAT, fondatore e Vice Presidente dell’ECLA (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European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Company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Lawers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Association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>) è a</w:t>
      </w:r>
      <w:r w:rsidR="00E21266">
        <w:rPr>
          <w:rFonts w:ascii="Garamond" w:hAnsi="Garamond"/>
          <w:sz w:val="24"/>
          <w:szCs w:val="24"/>
          <w:shd w:val="clear" w:color="auto" w:fill="FFFFFF"/>
        </w:rPr>
        <w:t>utore di numerose pubblicazioni sulle procedure contrattuali pubbliche</w:t>
      </w:r>
      <w:r w:rsidR="001D2D5D">
        <w:rPr>
          <w:rFonts w:ascii="Garamond" w:hAnsi="Garamond"/>
          <w:sz w:val="24"/>
          <w:szCs w:val="24"/>
          <w:shd w:val="clear" w:color="auto" w:fill="FFFFFF"/>
        </w:rPr>
        <w:t xml:space="preserve"> e componente di</w:t>
      </w:r>
      <w:r w:rsidR="001310D6">
        <w:rPr>
          <w:rFonts w:ascii="Garamond" w:hAnsi="Garamond"/>
          <w:sz w:val="24"/>
          <w:szCs w:val="24"/>
          <w:shd w:val="clear" w:color="auto" w:fill="FFFFFF"/>
        </w:rPr>
        <w:t xml:space="preserve"> gruppi di ricerche a carattere scientifico del CNR e di fondazioni private</w:t>
      </w:r>
      <w:r w:rsidR="001D2D5D">
        <w:rPr>
          <w:rFonts w:ascii="Garamond" w:hAnsi="Garamond"/>
          <w:sz w:val="24"/>
          <w:szCs w:val="24"/>
          <w:shd w:val="clear" w:color="auto" w:fill="FFFFFF"/>
        </w:rPr>
        <w:t xml:space="preserve">; ha partecipato, come esperto della materia, alle </w:t>
      </w:r>
      <w:r w:rsidR="001D2D5D">
        <w:rPr>
          <w:rFonts w:ascii="Garamond" w:hAnsi="Garamond"/>
          <w:sz w:val="24"/>
          <w:szCs w:val="24"/>
          <w:shd w:val="clear" w:color="auto" w:fill="FFFFFF"/>
        </w:rPr>
        <w:lastRenderedPageBreak/>
        <w:t>principali Commissioni ministeriali per la riforma delle procedure contrattuali e lo snellimento dell’azione amministrativa</w:t>
      </w:r>
      <w:r w:rsidR="001310D6">
        <w:rPr>
          <w:rFonts w:ascii="Garamond" w:hAnsi="Garamond"/>
          <w:sz w:val="24"/>
          <w:szCs w:val="24"/>
          <w:shd w:val="clear" w:color="auto" w:fill="FFFFFF"/>
        </w:rPr>
        <w:t xml:space="preserve">. </w:t>
      </w:r>
    </w:p>
    <w:p w:rsidR="009B1AAD" w:rsidRDefault="009B1AAD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Nell’attività professionale presso gli studi legali di riferimento ha curato personalmente la</w:t>
      </w:r>
      <w:r w:rsidR="009F38A5">
        <w:rPr>
          <w:rFonts w:ascii="Garamond" w:hAnsi="Garamond"/>
          <w:sz w:val="24"/>
          <w:szCs w:val="24"/>
          <w:shd w:val="clear" w:color="auto" w:fill="FFFFFF"/>
        </w:rPr>
        <w:t xml:space="preserve"> c</w:t>
      </w:r>
      <w:r>
        <w:rPr>
          <w:rFonts w:ascii="Garamond" w:hAnsi="Garamond"/>
          <w:sz w:val="24"/>
          <w:szCs w:val="24"/>
          <w:shd w:val="clear" w:color="auto" w:fill="FFFFFF"/>
        </w:rPr>
        <w:t>onsulenza a favore di primaria clientela internazionale per le loro iniziative in Italia,</w:t>
      </w:r>
      <w:r w:rsidR="009F38A5">
        <w:rPr>
          <w:rFonts w:ascii="Garamond" w:hAnsi="Garamond"/>
          <w:sz w:val="24"/>
          <w:szCs w:val="24"/>
          <w:shd w:val="clear" w:color="auto" w:fill="FFFFFF"/>
        </w:rPr>
        <w:t xml:space="preserve"> con i connessi profili di “project </w:t>
      </w:r>
      <w:proofErr w:type="spellStart"/>
      <w:r w:rsidR="009F38A5">
        <w:rPr>
          <w:rFonts w:ascii="Garamond" w:hAnsi="Garamond"/>
          <w:sz w:val="24"/>
          <w:szCs w:val="24"/>
          <w:shd w:val="clear" w:color="auto" w:fill="FFFFFF"/>
        </w:rPr>
        <w:t>financing</w:t>
      </w:r>
      <w:proofErr w:type="spellEnd"/>
      <w:r w:rsidR="009F38A5">
        <w:rPr>
          <w:rFonts w:ascii="Garamond" w:hAnsi="Garamond"/>
          <w:sz w:val="24"/>
          <w:szCs w:val="24"/>
          <w:shd w:val="clear" w:color="auto" w:fill="FFFFFF"/>
        </w:rPr>
        <w:t xml:space="preserve">” specie nel settore della distribuzione idrica e degli impianti fotovoltaici, 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nonché le problematiche</w:t>
      </w:r>
      <w:r w:rsidR="009F38A5">
        <w:rPr>
          <w:rFonts w:ascii="Garamond" w:hAnsi="Garamond"/>
          <w:sz w:val="24"/>
          <w:szCs w:val="24"/>
          <w:shd w:val="clear" w:color="auto" w:fill="FFFFFF"/>
        </w:rPr>
        <w:t xml:space="preserve"> amministrative di committenze pubbliche e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di società concessionarie nel settore delle utilities</w:t>
      </w:r>
      <w:r w:rsidR="009F38A5">
        <w:rPr>
          <w:rFonts w:ascii="Garamond" w:hAnsi="Garamond"/>
          <w:sz w:val="24"/>
          <w:szCs w:val="24"/>
          <w:shd w:val="clear" w:color="auto" w:fill="FFFFFF"/>
        </w:rPr>
        <w:t>, con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la contrattualistica relativa, gestendo in particolare alcuni contenziosi rilevanti devoluti ad arbitrato, sia nella qualità di arbitro designato </w:t>
      </w:r>
      <w:r w:rsidR="009F38A5">
        <w:rPr>
          <w:rFonts w:ascii="Garamond" w:hAnsi="Garamond"/>
          <w:sz w:val="24"/>
          <w:szCs w:val="24"/>
          <w:shd w:val="clear" w:color="auto" w:fill="FFFFFF"/>
        </w:rPr>
        <w:t>che di difensore nei giudizi (iscritto all’Albo speciale presso ANAC)</w:t>
      </w:r>
      <w:r w:rsidR="00E74F4A">
        <w:rPr>
          <w:rFonts w:ascii="Garamond" w:hAnsi="Garamond"/>
          <w:sz w:val="24"/>
          <w:szCs w:val="24"/>
          <w:shd w:val="clear" w:color="auto" w:fill="FFFFFF"/>
        </w:rPr>
        <w:t>.</w:t>
      </w:r>
    </w:p>
    <w:p w:rsidR="001D2D5D" w:rsidRDefault="009F38A5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Roma</w:t>
      </w:r>
      <w:r w:rsidR="00C26EB2">
        <w:rPr>
          <w:rFonts w:ascii="Garamond" w:hAnsi="Garamond"/>
          <w:sz w:val="24"/>
          <w:szCs w:val="24"/>
          <w:shd w:val="clear" w:color="auto" w:fill="FFFFFF"/>
        </w:rPr>
        <w:t>, 15</w:t>
      </w:r>
      <w:r>
        <w:rPr>
          <w:rFonts w:ascii="Garamond" w:hAnsi="Garamond"/>
          <w:sz w:val="24"/>
          <w:szCs w:val="24"/>
          <w:shd w:val="clear" w:color="auto" w:fill="FFFFFF"/>
        </w:rPr>
        <w:t xml:space="preserve"> </w:t>
      </w:r>
      <w:r w:rsidR="00E74F4A">
        <w:rPr>
          <w:rFonts w:ascii="Garamond" w:hAnsi="Garamond"/>
          <w:sz w:val="24"/>
          <w:szCs w:val="24"/>
          <w:shd w:val="clear" w:color="auto" w:fill="FFFFFF"/>
        </w:rPr>
        <w:t>settembre 2016</w:t>
      </w:r>
    </w:p>
    <w:p w:rsidR="00C26EB2" w:rsidRDefault="00C26EB2" w:rsidP="00C26EB2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C26EB2" w:rsidRDefault="00C26EB2" w:rsidP="00C26EB2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C26EB2" w:rsidRDefault="00C26EB2" w:rsidP="00C26EB2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C26EB2" w:rsidRDefault="00C26EB2" w:rsidP="00C26EB2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  <w:r>
        <w:rPr>
          <w:rFonts w:ascii="Garamond" w:hAnsi="Garamond"/>
          <w:sz w:val="24"/>
          <w:szCs w:val="24"/>
          <w:shd w:val="clear" w:color="auto" w:fill="FFFFFF"/>
        </w:rPr>
        <w:t>Autorizzo il trattamento dei miei dati personali presenti nel curriculum vitae ai sensi del d.lgs. 30.06.2003, n°196 e del GDPR (</w:t>
      </w:r>
      <w:proofErr w:type="spellStart"/>
      <w:r>
        <w:rPr>
          <w:rFonts w:ascii="Garamond" w:hAnsi="Garamond"/>
          <w:sz w:val="24"/>
          <w:szCs w:val="24"/>
          <w:shd w:val="clear" w:color="auto" w:fill="FFFFFF"/>
        </w:rPr>
        <w:t>reg</w:t>
      </w:r>
      <w:proofErr w:type="spellEnd"/>
      <w:r>
        <w:rPr>
          <w:rFonts w:ascii="Garamond" w:hAnsi="Garamond"/>
          <w:sz w:val="24"/>
          <w:szCs w:val="24"/>
          <w:shd w:val="clear" w:color="auto" w:fill="FFFFFF"/>
        </w:rPr>
        <w:t xml:space="preserve"> UE 2016/79).</w:t>
      </w:r>
      <w:bookmarkStart w:id="0" w:name="_GoBack"/>
      <w:bookmarkEnd w:id="0"/>
    </w:p>
    <w:p w:rsidR="00C26EB2" w:rsidRDefault="00C26EB2" w:rsidP="00C26EB2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p w:rsidR="00E21266" w:rsidRDefault="00E21266" w:rsidP="00673776">
      <w:pPr>
        <w:spacing w:line="240" w:lineRule="auto"/>
        <w:ind w:left="567" w:right="1133" w:firstLine="849"/>
        <w:jc w:val="both"/>
        <w:rPr>
          <w:rFonts w:ascii="Garamond" w:hAnsi="Garamond"/>
          <w:sz w:val="24"/>
          <w:szCs w:val="24"/>
          <w:shd w:val="clear" w:color="auto" w:fill="FFFFFF"/>
        </w:rPr>
      </w:pPr>
    </w:p>
    <w:sectPr w:rsidR="00E21266" w:rsidSect="004B7AB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423" w:rsidRDefault="00915423" w:rsidP="00D3493E">
      <w:pPr>
        <w:spacing w:after="0" w:line="240" w:lineRule="auto"/>
      </w:pPr>
      <w:r>
        <w:separator/>
      </w:r>
    </w:p>
  </w:endnote>
  <w:endnote w:type="continuationSeparator" w:id="0">
    <w:p w:rsidR="00915423" w:rsidRDefault="00915423" w:rsidP="00D34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9696433"/>
      <w:docPartObj>
        <w:docPartGallery w:val="Page Numbers (Bottom of Page)"/>
        <w:docPartUnique/>
      </w:docPartObj>
    </w:sdtPr>
    <w:sdtContent>
      <w:p w:rsidR="004D7061" w:rsidRDefault="004B7AB4">
        <w:pPr>
          <w:pStyle w:val="Pidipagina"/>
          <w:jc w:val="right"/>
        </w:pPr>
        <w:r>
          <w:fldChar w:fldCharType="begin"/>
        </w:r>
        <w:r w:rsidR="004D7061">
          <w:instrText>PAGE   \* MERGEFORMAT</w:instrText>
        </w:r>
        <w:r>
          <w:fldChar w:fldCharType="separate"/>
        </w:r>
        <w:r w:rsidR="00C26EB2">
          <w:rPr>
            <w:noProof/>
          </w:rPr>
          <w:t>2</w:t>
        </w:r>
        <w:r>
          <w:fldChar w:fldCharType="end"/>
        </w:r>
      </w:p>
    </w:sdtContent>
  </w:sdt>
  <w:p w:rsidR="00D3493E" w:rsidRDefault="00D3493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423" w:rsidRDefault="00915423" w:rsidP="00D3493E">
      <w:pPr>
        <w:spacing w:after="0" w:line="240" w:lineRule="auto"/>
      </w:pPr>
      <w:r>
        <w:separator/>
      </w:r>
    </w:p>
  </w:footnote>
  <w:footnote w:type="continuationSeparator" w:id="0">
    <w:p w:rsidR="00915423" w:rsidRDefault="00915423" w:rsidP="00D34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Titolo"/>
      <w:id w:val="77738743"/>
      <w:placeholder>
        <w:docPart w:val="C761138A98E14346820B923A2859BD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E11D4" w:rsidRPr="004E11D4" w:rsidRDefault="004E11D4" w:rsidP="004E11D4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4E11D4">
          <w:rPr>
            <w:rFonts w:asciiTheme="majorHAnsi" w:eastAsiaTheme="majorEastAsia" w:hAnsiTheme="majorHAnsi" w:cstheme="majorBidi"/>
            <w:sz w:val="24"/>
            <w:szCs w:val="24"/>
          </w:rPr>
          <w:t xml:space="preserve">Avv. Marco Allegra  </w:t>
        </w:r>
        <w:r>
          <w:rPr>
            <w:rFonts w:asciiTheme="majorHAnsi" w:eastAsiaTheme="majorEastAsia" w:hAnsiTheme="majorHAnsi" w:cstheme="majorBidi"/>
            <w:sz w:val="24"/>
            <w:szCs w:val="24"/>
          </w:rPr>
          <w:t xml:space="preserve">       </w:t>
        </w:r>
        <w:r w:rsidRPr="004E11D4">
          <w:rPr>
            <w:rFonts w:asciiTheme="majorHAnsi" w:eastAsiaTheme="majorEastAsia" w:hAnsiTheme="majorHAnsi" w:cstheme="majorBidi"/>
            <w:sz w:val="24"/>
            <w:szCs w:val="24"/>
          </w:rPr>
          <w:t>Via Isonzo, 42 00198 Roma</w:t>
        </w:r>
      </w:p>
    </w:sdtContent>
  </w:sdt>
  <w:p w:rsidR="004E11D4" w:rsidRDefault="004E11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51CC"/>
    <w:multiLevelType w:val="multilevel"/>
    <w:tmpl w:val="B0B2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516E3"/>
    <w:multiLevelType w:val="hybridMultilevel"/>
    <w:tmpl w:val="6EE4ADE2"/>
    <w:lvl w:ilvl="0" w:tplc="308AA27E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BB5CF7"/>
    <w:multiLevelType w:val="hybridMultilevel"/>
    <w:tmpl w:val="8C424114"/>
    <w:lvl w:ilvl="0" w:tplc="EAC657C6">
      <w:start w:val="4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828"/>
    <w:rsid w:val="00015953"/>
    <w:rsid w:val="000458CD"/>
    <w:rsid w:val="000B7C73"/>
    <w:rsid w:val="001310D6"/>
    <w:rsid w:val="00145A90"/>
    <w:rsid w:val="001665F0"/>
    <w:rsid w:val="001A3438"/>
    <w:rsid w:val="001D2D5D"/>
    <w:rsid w:val="001F52FB"/>
    <w:rsid w:val="00271439"/>
    <w:rsid w:val="002B5F1B"/>
    <w:rsid w:val="002C5577"/>
    <w:rsid w:val="002C58C3"/>
    <w:rsid w:val="003E1509"/>
    <w:rsid w:val="003E2AB8"/>
    <w:rsid w:val="003F1615"/>
    <w:rsid w:val="00426CB1"/>
    <w:rsid w:val="0047668E"/>
    <w:rsid w:val="004B7AB4"/>
    <w:rsid w:val="004D7061"/>
    <w:rsid w:val="004E11D4"/>
    <w:rsid w:val="004F1738"/>
    <w:rsid w:val="005C3C8F"/>
    <w:rsid w:val="006014D7"/>
    <w:rsid w:val="006138AA"/>
    <w:rsid w:val="00654828"/>
    <w:rsid w:val="00661A23"/>
    <w:rsid w:val="00673776"/>
    <w:rsid w:val="00690974"/>
    <w:rsid w:val="00721BF7"/>
    <w:rsid w:val="0072709B"/>
    <w:rsid w:val="007C3226"/>
    <w:rsid w:val="007C3B39"/>
    <w:rsid w:val="007C5D1A"/>
    <w:rsid w:val="007F79E1"/>
    <w:rsid w:val="00820327"/>
    <w:rsid w:val="00822CF9"/>
    <w:rsid w:val="00860F81"/>
    <w:rsid w:val="008C49CD"/>
    <w:rsid w:val="00915423"/>
    <w:rsid w:val="00974DFA"/>
    <w:rsid w:val="009929EF"/>
    <w:rsid w:val="009B1AAD"/>
    <w:rsid w:val="009F38A5"/>
    <w:rsid w:val="00A449EA"/>
    <w:rsid w:val="00AF0986"/>
    <w:rsid w:val="00B77286"/>
    <w:rsid w:val="00B84CA4"/>
    <w:rsid w:val="00B977A8"/>
    <w:rsid w:val="00C05BDB"/>
    <w:rsid w:val="00C06B6D"/>
    <w:rsid w:val="00C26EB2"/>
    <w:rsid w:val="00C352D7"/>
    <w:rsid w:val="00C8483E"/>
    <w:rsid w:val="00C949D0"/>
    <w:rsid w:val="00D13BE3"/>
    <w:rsid w:val="00D3493E"/>
    <w:rsid w:val="00D40E8B"/>
    <w:rsid w:val="00D4685B"/>
    <w:rsid w:val="00E138BA"/>
    <w:rsid w:val="00E168D8"/>
    <w:rsid w:val="00E21266"/>
    <w:rsid w:val="00E24E06"/>
    <w:rsid w:val="00E47395"/>
    <w:rsid w:val="00E74F4A"/>
    <w:rsid w:val="00E80F16"/>
    <w:rsid w:val="00ED087B"/>
    <w:rsid w:val="00F219CA"/>
    <w:rsid w:val="00F22B63"/>
    <w:rsid w:val="00F44FE4"/>
    <w:rsid w:val="00F82EF6"/>
    <w:rsid w:val="00FD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7A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548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3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3E"/>
  </w:style>
  <w:style w:type="paragraph" w:styleId="Pidipagina">
    <w:name w:val="footer"/>
    <w:basedOn w:val="Normale"/>
    <w:link w:val="PidipaginaCarattere"/>
    <w:uiPriority w:val="99"/>
    <w:unhideWhenUsed/>
    <w:rsid w:val="00D3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3E"/>
  </w:style>
  <w:style w:type="paragraph" w:styleId="Paragrafoelenco">
    <w:name w:val="List Paragraph"/>
    <w:basedOn w:val="Normale"/>
    <w:uiPriority w:val="34"/>
    <w:qFormat/>
    <w:rsid w:val="00721B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54828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3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93E"/>
  </w:style>
  <w:style w:type="paragraph" w:styleId="Pidipagina">
    <w:name w:val="footer"/>
    <w:basedOn w:val="Normale"/>
    <w:link w:val="PidipaginaCarattere"/>
    <w:uiPriority w:val="99"/>
    <w:unhideWhenUsed/>
    <w:rsid w:val="00D349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93E"/>
  </w:style>
  <w:style w:type="paragraph" w:styleId="Paragrafoelenco">
    <w:name w:val="List Paragraph"/>
    <w:basedOn w:val="Normale"/>
    <w:uiPriority w:val="34"/>
    <w:qFormat/>
    <w:rsid w:val="00721B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761138A98E14346820B923A2859B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DA281-1321-4861-9D86-A37B8DB6C945}"/>
      </w:docPartPr>
      <w:docPartBody>
        <w:p w:rsidR="00072551" w:rsidRDefault="006D5242" w:rsidP="006D5242">
          <w:pPr>
            <w:pStyle w:val="C761138A98E14346820B923A2859BD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6D5242"/>
    <w:rsid w:val="00072551"/>
    <w:rsid w:val="002E7267"/>
    <w:rsid w:val="0031058C"/>
    <w:rsid w:val="00385747"/>
    <w:rsid w:val="004F6E8C"/>
    <w:rsid w:val="006D5242"/>
    <w:rsid w:val="00820230"/>
    <w:rsid w:val="0083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E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761138A98E14346820B923A2859BDF4">
    <w:name w:val="C761138A98E14346820B923A2859BDF4"/>
    <w:rsid w:val="006D524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90945-862B-4E01-8A79-C7D4B459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Avv. Marco Allegra         Via Isonzo, 42 00198 Roma</vt:lpstr>
    </vt:vector>
  </TitlesOfParts>
  <Company>Hewlett-Packard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Avv. Marco Allegra         Via Isonzo, 42 00198 Roma</dc:title>
  <dc:creator>Marcello Brancaccio</dc:creator>
  <cp:lastModifiedBy>mcatani</cp:lastModifiedBy>
  <cp:revision>2</cp:revision>
  <dcterms:created xsi:type="dcterms:W3CDTF">2020-09-03T08:02:00Z</dcterms:created>
  <dcterms:modified xsi:type="dcterms:W3CDTF">2020-09-03T08:02:00Z</dcterms:modified>
</cp:coreProperties>
</file>